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745E0" w14:textId="360E08F5" w:rsidR="004F369C" w:rsidRDefault="004F369C" w:rsidP="004F369C">
      <w:pPr>
        <w:jc w:val="center"/>
        <w:rPr>
          <w:b/>
          <w:sz w:val="28"/>
        </w:rPr>
      </w:pPr>
      <w:r>
        <w:rPr>
          <w:noProof/>
        </w:rPr>
        <w:drawing>
          <wp:inline distT="0" distB="0" distL="0" distR="0" wp14:anchorId="537A7D56" wp14:editId="6922E514">
            <wp:extent cx="5486400" cy="991235"/>
            <wp:effectExtent l="0" t="0" r="0" b="0"/>
            <wp:docPr id="211898688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8986889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91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B4B202" w14:textId="7091561B" w:rsidR="00271CC5" w:rsidRDefault="00DC69DC" w:rsidP="00DC69DC">
      <w:pPr>
        <w:pStyle w:val="Title"/>
        <w:jc w:val="center"/>
      </w:pPr>
      <w:r w:rsidRPr="00DC69DC">
        <w:t>Hospitality Policy and Procedures</w:t>
      </w:r>
    </w:p>
    <w:p w14:paraId="7C1DB597" w14:textId="4C9CB3FD" w:rsidR="00271CC5" w:rsidRPr="008A5670" w:rsidRDefault="008A5670">
      <w:pPr>
        <w:rPr>
          <w:rFonts w:asciiTheme="majorHAnsi" w:hAnsiTheme="majorHAnsi" w:cstheme="majorHAnsi"/>
          <w:sz w:val="24"/>
          <w:szCs w:val="24"/>
        </w:rPr>
      </w:pPr>
      <w:r w:rsidRPr="008A5670">
        <w:rPr>
          <w:rFonts w:asciiTheme="majorHAnsi" w:hAnsiTheme="majorHAnsi" w:cstheme="majorHAnsi"/>
          <w:sz w:val="24"/>
          <w:szCs w:val="24"/>
        </w:rPr>
        <w:t>Effective Date: April 1, 2026</w:t>
      </w:r>
    </w:p>
    <w:p w14:paraId="1DEB8D2E" w14:textId="77777777" w:rsidR="00271CC5" w:rsidRPr="00DC69DC" w:rsidRDefault="008A5670" w:rsidP="00DC69DC">
      <w:pPr>
        <w:pStyle w:val="Heading1"/>
      </w:pPr>
      <w:r w:rsidRPr="00DC69DC">
        <w:t>1. Purpose</w:t>
      </w:r>
    </w:p>
    <w:p w14:paraId="7093E304" w14:textId="3F045B8F" w:rsidR="00271CC5" w:rsidRPr="00DC69DC" w:rsidRDefault="008A5670">
      <w:pPr>
        <w:rPr>
          <w:rFonts w:asciiTheme="majorHAnsi" w:hAnsiTheme="majorHAnsi" w:cstheme="majorHAnsi"/>
          <w:sz w:val="24"/>
          <w:szCs w:val="24"/>
        </w:rPr>
      </w:pPr>
      <w:r w:rsidRPr="00DC69DC">
        <w:rPr>
          <w:rFonts w:asciiTheme="majorHAnsi" w:hAnsiTheme="majorHAnsi" w:cstheme="majorHAnsi"/>
          <w:sz w:val="24"/>
          <w:szCs w:val="24"/>
        </w:rPr>
        <w:t xml:space="preserve">To establish consistent, auditable procedures for use of </w:t>
      </w:r>
      <w:proofErr w:type="gramStart"/>
      <w:r w:rsidRPr="00DC69DC">
        <w:rPr>
          <w:rFonts w:asciiTheme="majorHAnsi" w:hAnsiTheme="majorHAnsi" w:cstheme="majorHAnsi"/>
          <w:sz w:val="24"/>
          <w:szCs w:val="24"/>
        </w:rPr>
        <w:t>University</w:t>
      </w:r>
      <w:proofErr w:type="gramEnd"/>
      <w:r w:rsidRPr="00DC69DC">
        <w:rPr>
          <w:rFonts w:asciiTheme="majorHAnsi" w:hAnsiTheme="majorHAnsi" w:cstheme="majorHAnsi"/>
          <w:sz w:val="24"/>
          <w:szCs w:val="24"/>
        </w:rPr>
        <w:t xml:space="preserve"> and auxiliary funds to provide hospitality (meals, light refreshments, awards, entertainment, promotional items, and related expenses) that are necessary, appropriate to the occasion, reasonable in amount, and serve a public/business purpose consistent with the mission and fiduciary responsibilities of California State University, Bakersfield (CSUB). </w:t>
      </w:r>
    </w:p>
    <w:p w14:paraId="639AAD8A" w14:textId="77777777" w:rsidR="00271CC5" w:rsidRPr="00DC69DC" w:rsidRDefault="008A5670" w:rsidP="00DC69DC">
      <w:pPr>
        <w:pStyle w:val="Heading1"/>
      </w:pPr>
      <w:r w:rsidRPr="00DC69DC">
        <w:t>2. Scope</w:t>
      </w:r>
    </w:p>
    <w:p w14:paraId="400061DF" w14:textId="78F93C78" w:rsidR="00271CC5" w:rsidRPr="00DC69DC" w:rsidRDefault="008A5670">
      <w:pPr>
        <w:rPr>
          <w:rFonts w:asciiTheme="majorHAnsi" w:hAnsiTheme="majorHAnsi" w:cstheme="majorHAnsi"/>
          <w:sz w:val="24"/>
          <w:szCs w:val="24"/>
        </w:rPr>
      </w:pPr>
      <w:r w:rsidRPr="00DC69DC">
        <w:rPr>
          <w:rFonts w:asciiTheme="majorHAnsi" w:hAnsiTheme="majorHAnsi" w:cstheme="majorHAnsi"/>
          <w:sz w:val="24"/>
          <w:szCs w:val="24"/>
        </w:rPr>
        <w:t xml:space="preserve">Applies to all University units and auxiliary organizations unless a funding source or written agreement imposes stricter restrictions. Covers hospitality provided on-campus and during travel using state funds (CSU Fund 485), auxiliary funds, sponsored program funds, trust and agency funds, and private-purpose trust funds. </w:t>
      </w:r>
    </w:p>
    <w:p w14:paraId="3FCC7C11" w14:textId="77777777" w:rsidR="00271CC5" w:rsidRPr="00DC69DC" w:rsidRDefault="008A5670" w:rsidP="00DC69DC">
      <w:pPr>
        <w:pStyle w:val="Heading1"/>
      </w:pPr>
      <w:r w:rsidRPr="00DC69DC">
        <w:t>3. Authority</w:t>
      </w:r>
    </w:p>
    <w:p w14:paraId="22C06AE6" w14:textId="0C91C853" w:rsidR="00271CC5" w:rsidRPr="00DC69DC" w:rsidRDefault="008A5670">
      <w:pPr>
        <w:rPr>
          <w:rFonts w:asciiTheme="majorHAnsi" w:hAnsiTheme="majorHAnsi" w:cstheme="majorHAnsi"/>
          <w:sz w:val="24"/>
          <w:szCs w:val="24"/>
        </w:rPr>
      </w:pPr>
      <w:r w:rsidRPr="00DC69DC">
        <w:rPr>
          <w:rFonts w:asciiTheme="majorHAnsi" w:hAnsiTheme="majorHAnsi" w:cstheme="majorHAnsi"/>
          <w:sz w:val="24"/>
          <w:szCs w:val="24"/>
        </w:rPr>
        <w:t xml:space="preserve">Issued under the authority of California Education Code §89044 and delegated campus authorities. ICSUAM 01301.00 (systemwide Hospitality Policy) is the governing standard; campus procedures implement that standard. </w:t>
      </w:r>
    </w:p>
    <w:p w14:paraId="6BF5BA66" w14:textId="4FBECE06" w:rsidR="00271CC5" w:rsidRPr="00DC69DC" w:rsidRDefault="008A5670" w:rsidP="00DC69DC">
      <w:pPr>
        <w:pStyle w:val="Heading1"/>
      </w:pPr>
      <w:r w:rsidRPr="00DC69DC">
        <w:t xml:space="preserve">4. Definitions </w:t>
      </w:r>
    </w:p>
    <w:p w14:paraId="4CFCD26A" w14:textId="39144F31" w:rsidR="00271CC5" w:rsidRPr="00DC69DC" w:rsidRDefault="008A5670">
      <w:pPr>
        <w:rPr>
          <w:rFonts w:asciiTheme="majorHAnsi" w:hAnsiTheme="majorHAnsi" w:cstheme="majorHAnsi"/>
          <w:sz w:val="24"/>
          <w:szCs w:val="24"/>
        </w:rPr>
      </w:pPr>
      <w:r w:rsidRPr="00DC69DC">
        <w:rPr>
          <w:rFonts w:asciiTheme="majorHAnsi" w:hAnsiTheme="majorHAnsi" w:cstheme="majorHAnsi"/>
          <w:b/>
          <w:bCs/>
          <w:sz w:val="24"/>
          <w:szCs w:val="24"/>
        </w:rPr>
        <w:t>Hospitality:</w:t>
      </w:r>
      <w:r w:rsidRPr="00DC69DC">
        <w:rPr>
          <w:rFonts w:asciiTheme="majorHAnsi" w:hAnsiTheme="majorHAnsi" w:cstheme="majorHAnsi"/>
          <w:sz w:val="24"/>
          <w:szCs w:val="24"/>
        </w:rPr>
        <w:t xml:space="preserve"> Meals (catered or restaurant) or light refreshments, entertainment services, awards/prizes, promotional materials, and recognition items. </w:t>
      </w:r>
    </w:p>
    <w:p w14:paraId="1A2113FD" w14:textId="2E45F8F0" w:rsidR="00271CC5" w:rsidRPr="00DC69DC" w:rsidRDefault="008A5670">
      <w:pPr>
        <w:rPr>
          <w:rFonts w:asciiTheme="majorHAnsi" w:hAnsiTheme="majorHAnsi" w:cstheme="majorHAnsi"/>
          <w:sz w:val="24"/>
          <w:szCs w:val="24"/>
        </w:rPr>
      </w:pPr>
      <w:r w:rsidRPr="00DC69DC">
        <w:rPr>
          <w:rFonts w:asciiTheme="majorHAnsi" w:hAnsiTheme="majorHAnsi" w:cstheme="majorHAnsi"/>
          <w:b/>
          <w:bCs/>
          <w:sz w:val="24"/>
          <w:szCs w:val="24"/>
        </w:rPr>
        <w:t>Official Host:</w:t>
      </w:r>
      <w:r w:rsidRPr="00DC69DC">
        <w:rPr>
          <w:rFonts w:asciiTheme="majorHAnsi" w:hAnsiTheme="majorHAnsi" w:cstheme="majorHAnsi"/>
          <w:sz w:val="24"/>
          <w:szCs w:val="24"/>
        </w:rPr>
        <w:t xml:space="preserve"> CSUB trustee, auxiliary governing board member, or university/auxiliary employee hosting guests for official University business. </w:t>
      </w:r>
    </w:p>
    <w:p w14:paraId="02087E78" w14:textId="3BDB1120" w:rsidR="00271CC5" w:rsidRPr="00DC69DC" w:rsidRDefault="008A5670">
      <w:pPr>
        <w:rPr>
          <w:rFonts w:asciiTheme="majorHAnsi" w:hAnsiTheme="majorHAnsi" w:cstheme="majorHAnsi"/>
          <w:sz w:val="24"/>
          <w:szCs w:val="24"/>
        </w:rPr>
      </w:pPr>
      <w:r w:rsidRPr="00DC69DC">
        <w:rPr>
          <w:rFonts w:asciiTheme="majorHAnsi" w:hAnsiTheme="majorHAnsi" w:cstheme="majorHAnsi"/>
          <w:b/>
          <w:bCs/>
          <w:sz w:val="24"/>
          <w:szCs w:val="24"/>
        </w:rPr>
        <w:lastRenderedPageBreak/>
        <w:t>Official Guest:</w:t>
      </w:r>
      <w:r w:rsidRPr="00DC69DC">
        <w:rPr>
          <w:rFonts w:asciiTheme="majorHAnsi" w:hAnsiTheme="majorHAnsi" w:cstheme="majorHAnsi"/>
          <w:sz w:val="24"/>
          <w:szCs w:val="24"/>
        </w:rPr>
        <w:t xml:space="preserve"> Individual invited by an Official Host (donor, recruit, vendor, community partner, student, media, etc.). </w:t>
      </w:r>
    </w:p>
    <w:p w14:paraId="1AE885DB" w14:textId="794808C0" w:rsidR="00271CC5" w:rsidRPr="00DC69DC" w:rsidRDefault="008A5670">
      <w:pPr>
        <w:rPr>
          <w:rFonts w:asciiTheme="majorHAnsi" w:hAnsiTheme="majorHAnsi" w:cstheme="majorHAnsi"/>
          <w:sz w:val="24"/>
          <w:szCs w:val="24"/>
        </w:rPr>
      </w:pPr>
      <w:r w:rsidRPr="00DC69DC">
        <w:rPr>
          <w:rFonts w:asciiTheme="majorHAnsi" w:hAnsiTheme="majorHAnsi" w:cstheme="majorHAnsi"/>
          <w:b/>
          <w:bCs/>
          <w:sz w:val="24"/>
          <w:szCs w:val="24"/>
        </w:rPr>
        <w:t>De minimis:</w:t>
      </w:r>
      <w:r w:rsidRPr="00DC69DC">
        <w:rPr>
          <w:rFonts w:asciiTheme="majorHAnsi" w:hAnsiTheme="majorHAnsi" w:cstheme="majorHAnsi"/>
          <w:sz w:val="24"/>
          <w:szCs w:val="24"/>
        </w:rPr>
        <w:t xml:space="preserve"> As defined by IRS guidance; items above de minimis thresholds may be taxable. </w:t>
      </w:r>
    </w:p>
    <w:p w14:paraId="44D18085" w14:textId="77777777" w:rsidR="00271CC5" w:rsidRPr="00DC69DC" w:rsidRDefault="008A5670" w:rsidP="00DC69DC">
      <w:pPr>
        <w:pStyle w:val="Heading1"/>
      </w:pPr>
      <w:r w:rsidRPr="00DC69DC">
        <w:t>5. Allowable Hospitality — General Principles</w:t>
      </w:r>
    </w:p>
    <w:p w14:paraId="343C3AAB" w14:textId="23E6182B" w:rsidR="00271CC5" w:rsidRPr="00DC69DC" w:rsidRDefault="008A5670">
      <w:pPr>
        <w:rPr>
          <w:rFonts w:asciiTheme="majorHAnsi" w:hAnsiTheme="majorHAnsi" w:cstheme="majorHAnsi"/>
          <w:sz w:val="24"/>
          <w:szCs w:val="24"/>
        </w:rPr>
      </w:pPr>
      <w:r w:rsidRPr="00DC69DC">
        <w:rPr>
          <w:rFonts w:asciiTheme="majorHAnsi" w:hAnsiTheme="majorHAnsi" w:cstheme="majorHAnsi"/>
          <w:sz w:val="24"/>
          <w:szCs w:val="24"/>
        </w:rPr>
        <w:t xml:space="preserve">Hospitality must be directly related to the active conduct of </w:t>
      </w:r>
      <w:proofErr w:type="gramStart"/>
      <w:r w:rsidRPr="00DC69DC">
        <w:rPr>
          <w:rFonts w:asciiTheme="majorHAnsi" w:hAnsiTheme="majorHAnsi" w:cstheme="majorHAnsi"/>
          <w:sz w:val="24"/>
          <w:szCs w:val="24"/>
        </w:rPr>
        <w:t>University</w:t>
      </w:r>
      <w:proofErr w:type="gramEnd"/>
      <w:r w:rsidRPr="00DC69DC">
        <w:rPr>
          <w:rFonts w:asciiTheme="majorHAnsi" w:hAnsiTheme="majorHAnsi" w:cstheme="majorHAnsi"/>
          <w:sz w:val="24"/>
          <w:szCs w:val="24"/>
        </w:rPr>
        <w:t xml:space="preserve"> business and serve a documented public/business purpose. Approving authorities must evaluate necessity, cost-effectiveness, availability of funds, and alternatives. </w:t>
      </w:r>
    </w:p>
    <w:p w14:paraId="05A38F7C" w14:textId="6BBA453F" w:rsidR="00271CC5" w:rsidRPr="00DC69DC" w:rsidRDefault="008A5670">
      <w:pPr>
        <w:rPr>
          <w:rFonts w:asciiTheme="majorHAnsi" w:hAnsiTheme="majorHAnsi" w:cstheme="majorHAnsi"/>
          <w:sz w:val="24"/>
          <w:szCs w:val="24"/>
        </w:rPr>
      </w:pPr>
      <w:r w:rsidRPr="00DC69DC">
        <w:rPr>
          <w:rFonts w:asciiTheme="majorHAnsi" w:hAnsiTheme="majorHAnsi" w:cstheme="majorHAnsi"/>
          <w:sz w:val="24"/>
          <w:szCs w:val="24"/>
        </w:rPr>
        <w:t xml:space="preserve">Reimbursement/payment requires a completed Hospitality Justification Form and supporting documentation (itemized receipts, guest list, agenda/invitation when </w:t>
      </w:r>
      <w:r w:rsidR="00C726ED">
        <w:rPr>
          <w:rFonts w:asciiTheme="majorHAnsi" w:hAnsiTheme="majorHAnsi" w:cstheme="majorHAnsi"/>
          <w:sz w:val="24"/>
          <w:szCs w:val="24"/>
        </w:rPr>
        <w:t>applicable</w:t>
      </w:r>
      <w:r w:rsidRPr="00DC69DC">
        <w:rPr>
          <w:rFonts w:asciiTheme="majorHAnsi" w:hAnsiTheme="majorHAnsi" w:cstheme="majorHAnsi"/>
          <w:sz w:val="24"/>
          <w:szCs w:val="24"/>
        </w:rPr>
        <w:t xml:space="preserve">). </w:t>
      </w:r>
    </w:p>
    <w:p w14:paraId="7B097FE1" w14:textId="77777777" w:rsidR="00271CC5" w:rsidRPr="00DC69DC" w:rsidRDefault="008A5670" w:rsidP="00DC69DC">
      <w:pPr>
        <w:pStyle w:val="Heading1"/>
      </w:pPr>
      <w:r w:rsidRPr="00DC69DC">
        <w:t>6. Employee Meetings and Recognition</w:t>
      </w:r>
    </w:p>
    <w:p w14:paraId="367BE0F0" w14:textId="08FC17A6" w:rsidR="00271CC5" w:rsidRPr="00DC69DC" w:rsidRDefault="008A5670">
      <w:pPr>
        <w:rPr>
          <w:rFonts w:asciiTheme="majorHAnsi" w:hAnsiTheme="majorHAnsi" w:cstheme="majorHAnsi"/>
          <w:sz w:val="24"/>
          <w:szCs w:val="24"/>
        </w:rPr>
      </w:pPr>
      <w:r w:rsidRPr="00DC69DC">
        <w:rPr>
          <w:rFonts w:asciiTheme="majorHAnsi" w:hAnsiTheme="majorHAnsi" w:cstheme="majorHAnsi"/>
          <w:sz w:val="24"/>
          <w:szCs w:val="24"/>
        </w:rPr>
        <w:t xml:space="preserve">Food/beverage for employees may be allowed if infrequent, modest, and justified as serving a CSU business purpose. Working meals require documented business rationale (speaker during meal, work-through meal, etc.). </w:t>
      </w:r>
    </w:p>
    <w:p w14:paraId="497116F4" w14:textId="654F4EE6" w:rsidR="00271CC5" w:rsidRPr="00DC69DC" w:rsidRDefault="008A5670">
      <w:pPr>
        <w:rPr>
          <w:rFonts w:asciiTheme="majorHAnsi" w:hAnsiTheme="majorHAnsi" w:cstheme="majorHAnsi"/>
          <w:sz w:val="24"/>
          <w:szCs w:val="24"/>
        </w:rPr>
      </w:pPr>
      <w:r w:rsidRPr="00DC69DC">
        <w:rPr>
          <w:rFonts w:asciiTheme="majorHAnsi" w:hAnsiTheme="majorHAnsi" w:cstheme="majorHAnsi"/>
          <w:sz w:val="24"/>
          <w:szCs w:val="24"/>
        </w:rPr>
        <w:t xml:space="preserve">Cash-equivalent awards (including gift cards) to employees are prohibited from State, Auxiliary, and Trust funds. Tangible employee awards require preauthorization and must follow the Award Matrix. </w:t>
      </w:r>
    </w:p>
    <w:p w14:paraId="6067446B" w14:textId="77777777" w:rsidR="00271CC5" w:rsidRPr="00DC69DC" w:rsidRDefault="008A5670" w:rsidP="00DC69DC">
      <w:pPr>
        <w:pStyle w:val="Heading1"/>
      </w:pPr>
      <w:r w:rsidRPr="00DC69DC">
        <w:t>7. Awards and Prizes (including promotional items)</w:t>
      </w:r>
    </w:p>
    <w:p w14:paraId="74B8A22C" w14:textId="4C5FAF22" w:rsidR="00271CC5" w:rsidRPr="00DC69DC" w:rsidRDefault="008A5670">
      <w:pPr>
        <w:rPr>
          <w:rFonts w:asciiTheme="majorHAnsi" w:hAnsiTheme="majorHAnsi" w:cstheme="majorHAnsi"/>
          <w:sz w:val="24"/>
          <w:szCs w:val="24"/>
        </w:rPr>
      </w:pPr>
      <w:r w:rsidRPr="00DC69DC">
        <w:rPr>
          <w:rFonts w:asciiTheme="majorHAnsi" w:hAnsiTheme="majorHAnsi" w:cstheme="majorHAnsi"/>
          <w:sz w:val="24"/>
          <w:szCs w:val="24"/>
        </w:rPr>
        <w:t xml:space="preserve">Awards/prizes must be part of a documented campus award program, </w:t>
      </w:r>
      <w:proofErr w:type="gramStart"/>
      <w:r w:rsidRPr="00DC69DC">
        <w:rPr>
          <w:rFonts w:asciiTheme="majorHAnsi" w:hAnsiTheme="majorHAnsi" w:cstheme="majorHAnsi"/>
          <w:sz w:val="24"/>
          <w:szCs w:val="24"/>
        </w:rPr>
        <w:t>align</w:t>
      </w:r>
      <w:proofErr w:type="gramEnd"/>
      <w:r w:rsidRPr="00DC69DC">
        <w:rPr>
          <w:rFonts w:asciiTheme="majorHAnsi" w:hAnsiTheme="majorHAnsi" w:cstheme="majorHAnsi"/>
          <w:sz w:val="24"/>
          <w:szCs w:val="24"/>
        </w:rPr>
        <w:t xml:space="preserve"> with IRS rules, and be limited in amount and frequency. Non-cash awards must meet de minimis definitions to avoid taxable consequences</w:t>
      </w:r>
      <w:r w:rsidR="00326D96">
        <w:rPr>
          <w:rFonts w:asciiTheme="majorHAnsi" w:hAnsiTheme="majorHAnsi" w:cstheme="majorHAnsi"/>
          <w:sz w:val="24"/>
          <w:szCs w:val="24"/>
        </w:rPr>
        <w:t>.</w:t>
      </w:r>
      <w:r w:rsidRPr="00DC69DC">
        <w:rPr>
          <w:rFonts w:asciiTheme="majorHAnsi" w:hAnsiTheme="majorHAnsi" w:cstheme="majorHAnsi"/>
          <w:sz w:val="24"/>
          <w:szCs w:val="24"/>
        </w:rPr>
        <w:t xml:space="preserve"> Students, visitors, and non-employee participants may receive awards consistent with fund rules and preauthorization requirements. </w:t>
      </w:r>
    </w:p>
    <w:p w14:paraId="29E6891F" w14:textId="62A678A7" w:rsidR="00271CC5" w:rsidRPr="00DC69DC" w:rsidRDefault="008A5670" w:rsidP="00ED4095">
      <w:pPr>
        <w:pStyle w:val="Heading1"/>
      </w:pPr>
      <w:r w:rsidRPr="00DC69DC">
        <w:t>8. Maximum Per-Person Rates</w:t>
      </w:r>
    </w:p>
    <w:p w14:paraId="4B63B07D" w14:textId="45518C10" w:rsidR="00ED4095" w:rsidRDefault="008A5670">
      <w:pPr>
        <w:rPr>
          <w:rFonts w:asciiTheme="majorHAnsi" w:hAnsiTheme="majorHAnsi" w:cstheme="majorHAnsi"/>
          <w:sz w:val="24"/>
          <w:szCs w:val="24"/>
        </w:rPr>
      </w:pPr>
      <w:r w:rsidRPr="00DC69DC">
        <w:rPr>
          <w:rFonts w:asciiTheme="majorHAnsi" w:hAnsiTheme="majorHAnsi" w:cstheme="majorHAnsi"/>
          <w:sz w:val="24"/>
          <w:szCs w:val="24"/>
        </w:rPr>
        <w:t>Breakfast: $40 per person</w:t>
      </w:r>
    </w:p>
    <w:p w14:paraId="690B7062" w14:textId="461C81FB" w:rsidR="00271CC5" w:rsidRPr="00DC69DC" w:rsidRDefault="008A5670">
      <w:pPr>
        <w:rPr>
          <w:rFonts w:asciiTheme="majorHAnsi" w:hAnsiTheme="majorHAnsi" w:cstheme="majorHAnsi"/>
          <w:sz w:val="24"/>
          <w:szCs w:val="24"/>
        </w:rPr>
      </w:pPr>
      <w:r w:rsidRPr="00DC69DC">
        <w:rPr>
          <w:rFonts w:asciiTheme="majorHAnsi" w:hAnsiTheme="majorHAnsi" w:cstheme="majorHAnsi"/>
          <w:sz w:val="24"/>
          <w:szCs w:val="24"/>
        </w:rPr>
        <w:t>Lunch: $60 per person</w:t>
      </w:r>
    </w:p>
    <w:p w14:paraId="76E34F04" w14:textId="5157B417" w:rsidR="00271CC5" w:rsidRPr="00DC69DC" w:rsidRDefault="008A5670">
      <w:pPr>
        <w:rPr>
          <w:rFonts w:asciiTheme="majorHAnsi" w:hAnsiTheme="majorHAnsi" w:cstheme="majorHAnsi"/>
          <w:sz w:val="24"/>
          <w:szCs w:val="24"/>
        </w:rPr>
      </w:pPr>
      <w:r w:rsidRPr="00DC69DC">
        <w:rPr>
          <w:rFonts w:asciiTheme="majorHAnsi" w:hAnsiTheme="majorHAnsi" w:cstheme="majorHAnsi"/>
          <w:sz w:val="24"/>
          <w:szCs w:val="24"/>
        </w:rPr>
        <w:t>Dinner: $90 per person</w:t>
      </w:r>
    </w:p>
    <w:p w14:paraId="095B507B" w14:textId="48275BE2" w:rsidR="00271CC5" w:rsidRPr="00DC69DC" w:rsidRDefault="008A5670">
      <w:pPr>
        <w:rPr>
          <w:rFonts w:asciiTheme="majorHAnsi" w:hAnsiTheme="majorHAnsi" w:cstheme="majorHAnsi"/>
          <w:sz w:val="24"/>
          <w:szCs w:val="24"/>
        </w:rPr>
      </w:pPr>
      <w:r w:rsidRPr="00DC69DC">
        <w:rPr>
          <w:rFonts w:asciiTheme="majorHAnsi" w:hAnsiTheme="majorHAnsi" w:cstheme="majorHAnsi"/>
          <w:sz w:val="24"/>
          <w:szCs w:val="24"/>
        </w:rPr>
        <w:lastRenderedPageBreak/>
        <w:t>Light Refreshments: $40 per person</w:t>
      </w:r>
    </w:p>
    <w:p w14:paraId="0F2B3443" w14:textId="0520D4F3" w:rsidR="00271CC5" w:rsidRPr="00DC69DC" w:rsidRDefault="008A5670">
      <w:pPr>
        <w:rPr>
          <w:rFonts w:asciiTheme="majorHAnsi" w:hAnsiTheme="majorHAnsi" w:cstheme="majorHAnsi"/>
          <w:sz w:val="24"/>
          <w:szCs w:val="24"/>
        </w:rPr>
      </w:pPr>
      <w:r w:rsidRPr="00DC69DC">
        <w:rPr>
          <w:rFonts w:asciiTheme="majorHAnsi" w:hAnsiTheme="majorHAnsi" w:cstheme="majorHAnsi"/>
          <w:sz w:val="24"/>
          <w:szCs w:val="24"/>
        </w:rPr>
        <w:t>Alcohol: Allowed only on auxiliary funds and subject to a per-person cap of $30</w:t>
      </w:r>
    </w:p>
    <w:p w14:paraId="6C11C900" w14:textId="156BE1B1" w:rsidR="00271CC5" w:rsidRPr="00DC69DC" w:rsidRDefault="008A5670">
      <w:pPr>
        <w:rPr>
          <w:rFonts w:asciiTheme="majorHAnsi" w:hAnsiTheme="majorHAnsi" w:cstheme="majorHAnsi"/>
          <w:sz w:val="24"/>
          <w:szCs w:val="24"/>
        </w:rPr>
      </w:pPr>
      <w:r w:rsidRPr="00DC69DC">
        <w:rPr>
          <w:rFonts w:asciiTheme="majorHAnsi" w:hAnsiTheme="majorHAnsi" w:cstheme="majorHAnsi"/>
          <w:sz w:val="24"/>
          <w:szCs w:val="24"/>
        </w:rPr>
        <w:t xml:space="preserve">Tip limit: 20% maximum reimbursable for service gratuities. Any amount above 20% will not be reimbursed; ProCard </w:t>
      </w:r>
      <w:r w:rsidR="00ED4095">
        <w:rPr>
          <w:rFonts w:asciiTheme="majorHAnsi" w:hAnsiTheme="majorHAnsi" w:cstheme="majorHAnsi"/>
          <w:sz w:val="24"/>
          <w:szCs w:val="24"/>
        </w:rPr>
        <w:t xml:space="preserve"> or Travel card</w:t>
      </w:r>
      <w:r w:rsidRPr="00DC69DC">
        <w:rPr>
          <w:rFonts w:asciiTheme="majorHAnsi" w:hAnsiTheme="majorHAnsi" w:cstheme="majorHAnsi"/>
          <w:sz w:val="24"/>
          <w:szCs w:val="24"/>
        </w:rPr>
        <w:t xml:space="preserve">holders must repay excess. </w:t>
      </w:r>
    </w:p>
    <w:p w14:paraId="4EFE4F80" w14:textId="77777777" w:rsidR="00271CC5" w:rsidRPr="00DC69DC" w:rsidRDefault="008A5670" w:rsidP="00ED4095">
      <w:pPr>
        <w:pStyle w:val="Heading1"/>
      </w:pPr>
      <w:r w:rsidRPr="00DC69DC">
        <w:t>9. Unallowed Expenses</w:t>
      </w:r>
    </w:p>
    <w:p w14:paraId="715E4E09" w14:textId="5074EB52" w:rsidR="00271CC5" w:rsidRPr="00DC69DC" w:rsidRDefault="008A5670">
      <w:pPr>
        <w:rPr>
          <w:rFonts w:asciiTheme="majorHAnsi" w:hAnsiTheme="majorHAnsi" w:cstheme="majorHAnsi"/>
          <w:sz w:val="24"/>
          <w:szCs w:val="24"/>
        </w:rPr>
      </w:pPr>
      <w:r w:rsidRPr="00DC69DC">
        <w:rPr>
          <w:rFonts w:asciiTheme="majorHAnsi" w:hAnsiTheme="majorHAnsi" w:cstheme="majorHAnsi"/>
          <w:sz w:val="24"/>
          <w:szCs w:val="24"/>
        </w:rPr>
        <w:t xml:space="preserve">Hospitality of a personal nature not related to </w:t>
      </w:r>
      <w:proofErr w:type="gramStart"/>
      <w:r w:rsidRPr="00DC69DC">
        <w:rPr>
          <w:rFonts w:asciiTheme="majorHAnsi" w:hAnsiTheme="majorHAnsi" w:cstheme="majorHAnsi"/>
          <w:sz w:val="24"/>
          <w:szCs w:val="24"/>
        </w:rPr>
        <w:t>University</w:t>
      </w:r>
      <w:proofErr w:type="gramEnd"/>
      <w:r w:rsidRPr="00DC69DC">
        <w:rPr>
          <w:rFonts w:asciiTheme="majorHAnsi" w:hAnsiTheme="majorHAnsi" w:cstheme="majorHAnsi"/>
          <w:sz w:val="24"/>
          <w:szCs w:val="24"/>
        </w:rPr>
        <w:t xml:space="preserve"> business (employee birthdays, weddings, baby showers, personal gifts) is not allowed. The California Gift of Public Funds Doctrine prohibits use of public funds absent a public purpose. State funds may not be used for alcoholic beverages, tobacco, or entertainment that does not serve a business purpose (subject to auxiliary fund allowances). </w:t>
      </w:r>
    </w:p>
    <w:p w14:paraId="49E4A7D4" w14:textId="6C1F1017" w:rsidR="00271CC5" w:rsidRPr="00DC69DC" w:rsidRDefault="008A5670" w:rsidP="00ED4095">
      <w:pPr>
        <w:pStyle w:val="Heading1"/>
      </w:pPr>
      <w:r w:rsidRPr="00DC69DC">
        <w:t xml:space="preserve">10. Allowable Funding Sources </w:t>
      </w:r>
    </w:p>
    <w:p w14:paraId="640753E5" w14:textId="0065506F" w:rsidR="00271CC5" w:rsidRPr="00DC69DC" w:rsidRDefault="008A5670">
      <w:pPr>
        <w:rPr>
          <w:rFonts w:asciiTheme="majorHAnsi" w:hAnsiTheme="majorHAnsi" w:cstheme="majorHAnsi"/>
          <w:sz w:val="24"/>
          <w:szCs w:val="24"/>
        </w:rPr>
      </w:pPr>
      <w:r w:rsidRPr="00DC69DC">
        <w:rPr>
          <w:rFonts w:asciiTheme="majorHAnsi" w:hAnsiTheme="majorHAnsi" w:cstheme="majorHAnsi"/>
          <w:sz w:val="24"/>
          <w:szCs w:val="24"/>
        </w:rPr>
        <w:t xml:space="preserve">State Funds (CSU Fund 485): Limited uses; no cash-equivalent awards to employees, no alcohol; may fund awards for students, selected employee recognition (length of service with criteria), and bona fide business hospitality as described. </w:t>
      </w:r>
    </w:p>
    <w:p w14:paraId="082A56E8" w14:textId="185E3A0F" w:rsidR="00271CC5" w:rsidRPr="00DC69DC" w:rsidRDefault="008A5670">
      <w:pPr>
        <w:rPr>
          <w:rFonts w:asciiTheme="majorHAnsi" w:hAnsiTheme="majorHAnsi" w:cstheme="majorHAnsi"/>
          <w:sz w:val="24"/>
          <w:szCs w:val="24"/>
        </w:rPr>
      </w:pPr>
      <w:r w:rsidRPr="00DC69DC">
        <w:rPr>
          <w:rFonts w:asciiTheme="majorHAnsi" w:hAnsiTheme="majorHAnsi" w:cstheme="majorHAnsi"/>
          <w:sz w:val="24"/>
          <w:szCs w:val="24"/>
        </w:rPr>
        <w:t xml:space="preserve">Auxiliary Funds: Broader allowances (alcohol, certain entertainment) within auxiliary rules and fund agreements. </w:t>
      </w:r>
    </w:p>
    <w:p w14:paraId="5B54A62C" w14:textId="208E6751" w:rsidR="00271CC5" w:rsidRPr="00DC69DC" w:rsidRDefault="008A5670">
      <w:pPr>
        <w:rPr>
          <w:rFonts w:asciiTheme="majorHAnsi" w:hAnsiTheme="majorHAnsi" w:cstheme="majorHAnsi"/>
          <w:sz w:val="24"/>
          <w:szCs w:val="24"/>
        </w:rPr>
      </w:pPr>
      <w:r w:rsidRPr="00DC69DC">
        <w:rPr>
          <w:rFonts w:asciiTheme="majorHAnsi" w:hAnsiTheme="majorHAnsi" w:cstheme="majorHAnsi"/>
          <w:sz w:val="24"/>
          <w:szCs w:val="24"/>
        </w:rPr>
        <w:t xml:space="preserve">Sponsored Program Funds: Only when permitted by contract/grant and agency rules; federal rules may be stricter. </w:t>
      </w:r>
    </w:p>
    <w:p w14:paraId="5977C00C" w14:textId="2D884FF4" w:rsidR="00271CC5" w:rsidRPr="00DC69DC" w:rsidRDefault="008A5670">
      <w:pPr>
        <w:rPr>
          <w:rFonts w:asciiTheme="majorHAnsi" w:hAnsiTheme="majorHAnsi" w:cstheme="majorHAnsi"/>
          <w:sz w:val="24"/>
          <w:szCs w:val="24"/>
        </w:rPr>
      </w:pPr>
      <w:r w:rsidRPr="00DC69DC">
        <w:rPr>
          <w:rFonts w:asciiTheme="majorHAnsi" w:hAnsiTheme="majorHAnsi" w:cstheme="majorHAnsi"/>
          <w:sz w:val="24"/>
          <w:szCs w:val="24"/>
        </w:rPr>
        <w:t xml:space="preserve">Trust/Private-Purpose Funds: Must follow fund terms and more restrictive rules prevail. </w:t>
      </w:r>
    </w:p>
    <w:p w14:paraId="2C2EC355" w14:textId="55E6A487" w:rsidR="00271CC5" w:rsidRPr="00DC69DC" w:rsidRDefault="008A5670" w:rsidP="00ED4095">
      <w:pPr>
        <w:pStyle w:val="Heading1"/>
      </w:pPr>
      <w:r w:rsidRPr="00DC69DC">
        <w:t xml:space="preserve">11. Approvals and Roles </w:t>
      </w:r>
    </w:p>
    <w:p w14:paraId="36407349" w14:textId="77777777" w:rsidR="00326D96" w:rsidRDefault="008A5670">
      <w:pPr>
        <w:rPr>
          <w:rFonts w:asciiTheme="majorHAnsi" w:hAnsiTheme="majorHAnsi" w:cstheme="majorHAnsi"/>
          <w:sz w:val="24"/>
          <w:szCs w:val="24"/>
        </w:rPr>
      </w:pPr>
      <w:r w:rsidRPr="00DC69DC">
        <w:rPr>
          <w:rFonts w:asciiTheme="majorHAnsi" w:hAnsiTheme="majorHAnsi" w:cstheme="majorHAnsi"/>
          <w:sz w:val="24"/>
          <w:szCs w:val="24"/>
        </w:rPr>
        <w:t xml:space="preserve">Key principles: </w:t>
      </w:r>
    </w:p>
    <w:p w14:paraId="73D7D821" w14:textId="77777777" w:rsidR="00326D96" w:rsidRDefault="008A5670">
      <w:pPr>
        <w:rPr>
          <w:rFonts w:asciiTheme="majorHAnsi" w:hAnsiTheme="majorHAnsi" w:cstheme="majorHAnsi"/>
          <w:sz w:val="24"/>
          <w:szCs w:val="24"/>
        </w:rPr>
      </w:pPr>
      <w:r w:rsidRPr="00DC69DC">
        <w:rPr>
          <w:rFonts w:asciiTheme="majorHAnsi" w:hAnsiTheme="majorHAnsi" w:cstheme="majorHAnsi"/>
          <w:sz w:val="24"/>
          <w:szCs w:val="24"/>
        </w:rPr>
        <w:t xml:space="preserve">Approving authorities may not approve their own expenses or those of their supervisor. Exceptions follow the Delegation of Authority (DOA). </w:t>
      </w:r>
    </w:p>
    <w:p w14:paraId="19085512" w14:textId="61938811" w:rsidR="00271CC5" w:rsidRPr="00DC69DC" w:rsidRDefault="008A5670">
      <w:pPr>
        <w:rPr>
          <w:rFonts w:asciiTheme="majorHAnsi" w:hAnsiTheme="majorHAnsi" w:cstheme="majorHAnsi"/>
          <w:sz w:val="24"/>
          <w:szCs w:val="24"/>
        </w:rPr>
      </w:pPr>
      <w:r w:rsidRPr="00DC69DC">
        <w:rPr>
          <w:rFonts w:asciiTheme="majorHAnsi" w:hAnsiTheme="majorHAnsi" w:cstheme="majorHAnsi"/>
          <w:sz w:val="24"/>
          <w:szCs w:val="24"/>
        </w:rPr>
        <w:t xml:space="preserve">Large events (10+ attendees): an approving authority who is an incidental attendee may approve if no direct personal benefit and DOA requirements are met. </w:t>
      </w:r>
    </w:p>
    <w:p w14:paraId="0D7C1955" w14:textId="77777777" w:rsidR="00326D96" w:rsidRDefault="00326D96">
      <w:pPr>
        <w:rPr>
          <w:rFonts w:asciiTheme="majorHAnsi" w:hAnsiTheme="majorHAnsi" w:cstheme="majorHAnsi"/>
          <w:sz w:val="24"/>
          <w:szCs w:val="24"/>
        </w:rPr>
      </w:pPr>
    </w:p>
    <w:p w14:paraId="0E626C07" w14:textId="77777777" w:rsidR="009164C2" w:rsidRDefault="009164C2">
      <w:pPr>
        <w:rPr>
          <w:rFonts w:asciiTheme="majorHAnsi" w:hAnsiTheme="majorHAnsi" w:cstheme="majorHAnsi"/>
          <w:sz w:val="24"/>
          <w:szCs w:val="24"/>
        </w:rPr>
      </w:pPr>
    </w:p>
    <w:p w14:paraId="723D7450" w14:textId="6FA0FEF8" w:rsidR="00271CC5" w:rsidRPr="00DC69DC" w:rsidRDefault="008A5670">
      <w:pPr>
        <w:rPr>
          <w:rFonts w:asciiTheme="majorHAnsi" w:hAnsiTheme="majorHAnsi" w:cstheme="majorHAnsi"/>
          <w:sz w:val="24"/>
          <w:szCs w:val="24"/>
        </w:rPr>
      </w:pPr>
      <w:r w:rsidRPr="00DC69DC">
        <w:rPr>
          <w:rFonts w:asciiTheme="majorHAnsi" w:hAnsiTheme="majorHAnsi" w:cstheme="majorHAnsi"/>
          <w:sz w:val="24"/>
          <w:szCs w:val="24"/>
        </w:rPr>
        <w:lastRenderedPageBreak/>
        <w:t>Roles &amp; responsibilities:</w:t>
      </w:r>
    </w:p>
    <w:p w14:paraId="3AA40D7C" w14:textId="2238B202" w:rsidR="00271CC5" w:rsidRPr="00DC69DC" w:rsidRDefault="008A5670">
      <w:pPr>
        <w:rPr>
          <w:rFonts w:asciiTheme="majorHAnsi" w:hAnsiTheme="majorHAnsi" w:cstheme="majorHAnsi"/>
          <w:sz w:val="24"/>
          <w:szCs w:val="24"/>
        </w:rPr>
      </w:pPr>
      <w:r w:rsidRPr="00ED4095">
        <w:rPr>
          <w:rFonts w:asciiTheme="majorHAnsi" w:hAnsiTheme="majorHAnsi" w:cstheme="majorHAnsi"/>
          <w:b/>
          <w:bCs/>
          <w:sz w:val="24"/>
          <w:szCs w:val="24"/>
        </w:rPr>
        <w:t>Official Host / Requestor:</w:t>
      </w:r>
      <w:r w:rsidRPr="00DC69DC">
        <w:rPr>
          <w:rFonts w:asciiTheme="majorHAnsi" w:hAnsiTheme="majorHAnsi" w:cstheme="majorHAnsi"/>
          <w:sz w:val="24"/>
          <w:szCs w:val="24"/>
        </w:rPr>
        <w:t xml:space="preserve"> Completes Hospitality Justification Form; ensures documentation and justification. </w:t>
      </w:r>
    </w:p>
    <w:p w14:paraId="42A62198" w14:textId="65483839" w:rsidR="00271CC5" w:rsidRPr="00DC69DC" w:rsidRDefault="008A5670">
      <w:pPr>
        <w:rPr>
          <w:rFonts w:asciiTheme="majorHAnsi" w:hAnsiTheme="majorHAnsi" w:cstheme="majorHAnsi"/>
          <w:sz w:val="24"/>
          <w:szCs w:val="24"/>
        </w:rPr>
      </w:pPr>
      <w:r w:rsidRPr="00ED4095">
        <w:rPr>
          <w:rFonts w:asciiTheme="majorHAnsi" w:hAnsiTheme="majorHAnsi" w:cstheme="majorHAnsi"/>
          <w:b/>
          <w:bCs/>
          <w:sz w:val="24"/>
          <w:szCs w:val="24"/>
        </w:rPr>
        <w:t>Approving Authority:</w:t>
      </w:r>
      <w:r w:rsidRPr="00DC69DC">
        <w:rPr>
          <w:rFonts w:asciiTheme="majorHAnsi" w:hAnsiTheme="majorHAnsi" w:cstheme="majorHAnsi"/>
          <w:sz w:val="24"/>
          <w:szCs w:val="24"/>
        </w:rPr>
        <w:t xml:space="preserve"> Reviews and approves requests consistent with DOA and policy. If the requestor is the Approving Authority, their direct supervisor must approve. </w:t>
      </w:r>
    </w:p>
    <w:p w14:paraId="7A638BFF" w14:textId="41F8686C" w:rsidR="00271CC5" w:rsidRPr="00DC69DC" w:rsidRDefault="008A5670">
      <w:pPr>
        <w:rPr>
          <w:rFonts w:asciiTheme="majorHAnsi" w:hAnsiTheme="majorHAnsi" w:cstheme="majorHAnsi"/>
          <w:sz w:val="24"/>
          <w:szCs w:val="24"/>
        </w:rPr>
      </w:pPr>
      <w:r w:rsidRPr="00ED4095">
        <w:rPr>
          <w:rFonts w:asciiTheme="majorHAnsi" w:hAnsiTheme="majorHAnsi" w:cstheme="majorHAnsi"/>
          <w:b/>
          <w:bCs/>
          <w:sz w:val="24"/>
          <w:szCs w:val="24"/>
        </w:rPr>
        <w:t>Financial/DOA Approver:</w:t>
      </w:r>
      <w:r w:rsidRPr="00DC69DC">
        <w:rPr>
          <w:rFonts w:asciiTheme="majorHAnsi" w:hAnsiTheme="majorHAnsi" w:cstheme="majorHAnsi"/>
          <w:sz w:val="24"/>
          <w:szCs w:val="24"/>
        </w:rPr>
        <w:t xml:space="preserve"> Confirms budget availability and DOA compliance. </w:t>
      </w:r>
    </w:p>
    <w:p w14:paraId="57FEB64A" w14:textId="0CEBD5C4" w:rsidR="00271CC5" w:rsidRPr="00DC69DC" w:rsidRDefault="008A5670">
      <w:pPr>
        <w:rPr>
          <w:rFonts w:asciiTheme="majorHAnsi" w:hAnsiTheme="majorHAnsi" w:cstheme="majorHAnsi"/>
          <w:sz w:val="24"/>
          <w:szCs w:val="24"/>
        </w:rPr>
      </w:pPr>
      <w:r w:rsidRPr="00ED4095">
        <w:rPr>
          <w:rFonts w:asciiTheme="majorHAnsi" w:hAnsiTheme="majorHAnsi" w:cstheme="majorHAnsi"/>
          <w:b/>
          <w:bCs/>
          <w:sz w:val="24"/>
          <w:szCs w:val="24"/>
        </w:rPr>
        <w:t>University CFO / Designee:</w:t>
      </w:r>
      <w:r w:rsidRPr="00DC69DC">
        <w:rPr>
          <w:rFonts w:asciiTheme="majorHAnsi" w:hAnsiTheme="majorHAnsi" w:cstheme="majorHAnsi"/>
          <w:sz w:val="24"/>
          <w:szCs w:val="24"/>
        </w:rPr>
        <w:t xml:space="preserve"> Reviews and approves exceptions to per-person limits and other policy exceptions. </w:t>
      </w:r>
    </w:p>
    <w:p w14:paraId="61A40A13" w14:textId="674F8BCF" w:rsidR="00271CC5" w:rsidRPr="00DC69DC" w:rsidRDefault="008A5670">
      <w:pPr>
        <w:rPr>
          <w:rFonts w:asciiTheme="majorHAnsi" w:hAnsiTheme="majorHAnsi" w:cstheme="majorHAnsi"/>
          <w:sz w:val="24"/>
          <w:szCs w:val="24"/>
        </w:rPr>
      </w:pPr>
      <w:r w:rsidRPr="00ED4095">
        <w:rPr>
          <w:rFonts w:asciiTheme="majorHAnsi" w:hAnsiTheme="majorHAnsi" w:cstheme="majorHAnsi"/>
          <w:b/>
          <w:bCs/>
          <w:sz w:val="24"/>
          <w:szCs w:val="24"/>
        </w:rPr>
        <w:t>President/Designee:</w:t>
      </w:r>
      <w:r w:rsidRPr="00DC69DC">
        <w:rPr>
          <w:rFonts w:asciiTheme="majorHAnsi" w:hAnsiTheme="majorHAnsi" w:cstheme="majorHAnsi"/>
          <w:sz w:val="24"/>
          <w:szCs w:val="24"/>
        </w:rPr>
        <w:t xml:space="preserve"> Required approval for recreational/entertainment events and hospitality for a spouse/domestic partner where applicable. </w:t>
      </w:r>
    </w:p>
    <w:p w14:paraId="6D2368E5" w14:textId="0B2B204A" w:rsidR="00271CC5" w:rsidRPr="00DC69DC" w:rsidRDefault="008A5670">
      <w:pPr>
        <w:rPr>
          <w:rFonts w:asciiTheme="majorHAnsi" w:hAnsiTheme="majorHAnsi" w:cstheme="majorHAnsi"/>
          <w:sz w:val="24"/>
          <w:szCs w:val="24"/>
        </w:rPr>
      </w:pPr>
      <w:r w:rsidRPr="00ED4095">
        <w:rPr>
          <w:rFonts w:asciiTheme="majorHAnsi" w:hAnsiTheme="majorHAnsi" w:cstheme="majorHAnsi"/>
          <w:b/>
          <w:bCs/>
          <w:sz w:val="24"/>
          <w:szCs w:val="24"/>
        </w:rPr>
        <w:t>Accounts Payable / Procurement:</w:t>
      </w:r>
      <w:r w:rsidRPr="00DC69DC">
        <w:rPr>
          <w:rFonts w:asciiTheme="majorHAnsi" w:hAnsiTheme="majorHAnsi" w:cstheme="majorHAnsi"/>
          <w:sz w:val="24"/>
          <w:szCs w:val="24"/>
        </w:rPr>
        <w:t xml:space="preserve"> Verifies compliance, processes payments, and enforces documentation.</w:t>
      </w:r>
    </w:p>
    <w:p w14:paraId="027C0BE9" w14:textId="670567CC" w:rsidR="00271CC5" w:rsidRPr="00DC69DC" w:rsidRDefault="008A5670">
      <w:pPr>
        <w:rPr>
          <w:rFonts w:asciiTheme="majorHAnsi" w:hAnsiTheme="majorHAnsi" w:cstheme="majorHAnsi"/>
          <w:sz w:val="24"/>
          <w:szCs w:val="24"/>
        </w:rPr>
      </w:pPr>
      <w:r w:rsidRPr="00FD07C3">
        <w:rPr>
          <w:rFonts w:asciiTheme="majorHAnsi" w:hAnsiTheme="majorHAnsi" w:cstheme="majorHAnsi"/>
          <w:b/>
          <w:bCs/>
          <w:sz w:val="24"/>
          <w:szCs w:val="24"/>
        </w:rPr>
        <w:t>Audit &amp; Advisory Services:</w:t>
      </w:r>
      <w:r w:rsidRPr="00DC69DC">
        <w:rPr>
          <w:rFonts w:asciiTheme="majorHAnsi" w:hAnsiTheme="majorHAnsi" w:cstheme="majorHAnsi"/>
          <w:sz w:val="24"/>
          <w:szCs w:val="24"/>
        </w:rPr>
        <w:t xml:space="preserve"> Periodic compliance reviews. </w:t>
      </w:r>
    </w:p>
    <w:p w14:paraId="49DF79BA" w14:textId="77777777" w:rsidR="00271CC5" w:rsidRPr="00DC69DC" w:rsidRDefault="008A5670" w:rsidP="008966F2">
      <w:pPr>
        <w:pStyle w:val="Heading1"/>
      </w:pPr>
      <w:r w:rsidRPr="00DC69DC">
        <w:t>12. Hospitality Justification Form &amp; Documentation Requirements</w:t>
      </w:r>
    </w:p>
    <w:p w14:paraId="1D4DBF0C" w14:textId="477F9B16" w:rsidR="00271CC5" w:rsidRPr="00DC69DC" w:rsidRDefault="008A5670">
      <w:pPr>
        <w:rPr>
          <w:rFonts w:asciiTheme="majorHAnsi" w:hAnsiTheme="majorHAnsi" w:cstheme="majorHAnsi"/>
          <w:sz w:val="24"/>
          <w:szCs w:val="24"/>
        </w:rPr>
      </w:pPr>
      <w:r w:rsidRPr="00DC69DC">
        <w:rPr>
          <w:rFonts w:asciiTheme="majorHAnsi" w:hAnsiTheme="majorHAnsi" w:cstheme="majorHAnsi"/>
          <w:sz w:val="24"/>
          <w:szCs w:val="24"/>
        </w:rPr>
        <w:t xml:space="preserve">Required with every hospitality payment or reimbursement: completed Hospitality Justification Form plus original itemized receipts, guest list (names and affiliations when available), agenda/invitation (if available), vendor invoice for catering, and evidence of pre-approval when required. For CSUBUY/Jaggaer orders, online hospitality fields will substitute the paper form. </w:t>
      </w:r>
    </w:p>
    <w:p w14:paraId="7FFCD60A" w14:textId="77777777" w:rsidR="00271CC5" w:rsidRPr="00DC69DC" w:rsidRDefault="008A5670" w:rsidP="00657005">
      <w:pPr>
        <w:pStyle w:val="Heading1"/>
      </w:pPr>
      <w:r w:rsidRPr="00DC69DC">
        <w:t>13. Catering and Event Procurement Procedures</w:t>
      </w:r>
    </w:p>
    <w:p w14:paraId="65282D26" w14:textId="77777777" w:rsidR="00326D96" w:rsidRDefault="008A5670">
      <w:pPr>
        <w:rPr>
          <w:rFonts w:asciiTheme="majorHAnsi" w:hAnsiTheme="majorHAnsi" w:cstheme="majorHAnsi"/>
          <w:sz w:val="24"/>
          <w:szCs w:val="24"/>
        </w:rPr>
      </w:pPr>
      <w:r w:rsidRPr="00DC69DC">
        <w:rPr>
          <w:rFonts w:asciiTheme="majorHAnsi" w:hAnsiTheme="majorHAnsi" w:cstheme="majorHAnsi"/>
          <w:sz w:val="24"/>
          <w:szCs w:val="24"/>
        </w:rPr>
        <w:t xml:space="preserve">On-campus events must be scheduled in 25Live and follow campus catering agreements; ProCard use </w:t>
      </w:r>
      <w:r w:rsidR="00326D96">
        <w:rPr>
          <w:rFonts w:asciiTheme="majorHAnsi" w:hAnsiTheme="majorHAnsi" w:cstheme="majorHAnsi"/>
          <w:sz w:val="24"/>
          <w:szCs w:val="24"/>
        </w:rPr>
        <w:t xml:space="preserve">is </w:t>
      </w:r>
      <w:r w:rsidRPr="00DC69DC">
        <w:rPr>
          <w:rFonts w:asciiTheme="majorHAnsi" w:hAnsiTheme="majorHAnsi" w:cstheme="majorHAnsi"/>
          <w:sz w:val="24"/>
          <w:szCs w:val="24"/>
        </w:rPr>
        <w:t xml:space="preserve">limited to authorized cardholders with hospitality privileges and event planners designated by Procurement. </w:t>
      </w:r>
    </w:p>
    <w:p w14:paraId="0B0DD257" w14:textId="77777777" w:rsidR="00326D96" w:rsidRDefault="008A5670">
      <w:pPr>
        <w:rPr>
          <w:rFonts w:asciiTheme="majorHAnsi" w:hAnsiTheme="majorHAnsi" w:cstheme="majorHAnsi"/>
          <w:sz w:val="24"/>
          <w:szCs w:val="24"/>
        </w:rPr>
      </w:pPr>
      <w:r w:rsidRPr="00DC69DC">
        <w:rPr>
          <w:rFonts w:asciiTheme="majorHAnsi" w:hAnsiTheme="majorHAnsi" w:cstheme="majorHAnsi"/>
          <w:sz w:val="24"/>
          <w:szCs w:val="24"/>
        </w:rPr>
        <w:t xml:space="preserve">Required backup: detailed vendor invoice, Hospitality Justification Form, guestlist, and invitation/agenda when </w:t>
      </w:r>
      <w:r w:rsidR="00326D96">
        <w:rPr>
          <w:rFonts w:asciiTheme="majorHAnsi" w:hAnsiTheme="majorHAnsi" w:cstheme="majorHAnsi"/>
          <w:sz w:val="24"/>
          <w:szCs w:val="24"/>
        </w:rPr>
        <w:t>applicable</w:t>
      </w:r>
      <w:r w:rsidRPr="00DC69DC">
        <w:rPr>
          <w:rFonts w:asciiTheme="majorHAnsi" w:hAnsiTheme="majorHAnsi" w:cstheme="majorHAnsi"/>
          <w:sz w:val="24"/>
          <w:szCs w:val="24"/>
        </w:rPr>
        <w:t xml:space="preserve">. </w:t>
      </w:r>
    </w:p>
    <w:p w14:paraId="21AC38AB" w14:textId="5CCD8A46" w:rsidR="00271CC5" w:rsidRPr="00DC69DC" w:rsidRDefault="008A5670">
      <w:pPr>
        <w:rPr>
          <w:rFonts w:asciiTheme="majorHAnsi" w:hAnsiTheme="majorHAnsi" w:cstheme="majorHAnsi"/>
          <w:sz w:val="24"/>
          <w:szCs w:val="24"/>
        </w:rPr>
      </w:pPr>
      <w:r w:rsidRPr="00DC69DC">
        <w:rPr>
          <w:rFonts w:asciiTheme="majorHAnsi" w:hAnsiTheme="majorHAnsi" w:cstheme="majorHAnsi"/>
          <w:sz w:val="24"/>
          <w:szCs w:val="24"/>
        </w:rPr>
        <w:t>Purchase Orders via CSUBUY/P2P</w:t>
      </w:r>
      <w:r w:rsidR="00326D96">
        <w:rPr>
          <w:rFonts w:asciiTheme="majorHAnsi" w:hAnsiTheme="majorHAnsi" w:cstheme="majorHAnsi"/>
          <w:sz w:val="24"/>
          <w:szCs w:val="24"/>
        </w:rPr>
        <w:t xml:space="preserve"> are</w:t>
      </w:r>
      <w:r w:rsidRPr="00DC69DC">
        <w:rPr>
          <w:rFonts w:asciiTheme="majorHAnsi" w:hAnsiTheme="majorHAnsi" w:cstheme="majorHAnsi"/>
          <w:sz w:val="24"/>
          <w:szCs w:val="24"/>
        </w:rPr>
        <w:t xml:space="preserve"> required when vendor staff remain on campus or when procurement requires a PO. </w:t>
      </w:r>
    </w:p>
    <w:p w14:paraId="6706B57C" w14:textId="3DD9FAC0" w:rsidR="00271CC5" w:rsidRPr="00DC69DC" w:rsidRDefault="008A5670">
      <w:pPr>
        <w:rPr>
          <w:rFonts w:asciiTheme="majorHAnsi" w:hAnsiTheme="majorHAnsi" w:cstheme="majorHAnsi"/>
          <w:sz w:val="24"/>
          <w:szCs w:val="24"/>
        </w:rPr>
      </w:pPr>
      <w:r w:rsidRPr="00DC69DC">
        <w:rPr>
          <w:rFonts w:asciiTheme="majorHAnsi" w:hAnsiTheme="majorHAnsi" w:cstheme="majorHAnsi"/>
          <w:sz w:val="24"/>
          <w:szCs w:val="24"/>
        </w:rPr>
        <w:t xml:space="preserve">Off-campus events follow the matrix and fund rules; Procurement must be consulted for PO requirements. ProCard use </w:t>
      </w:r>
      <w:proofErr w:type="gramStart"/>
      <w:r w:rsidRPr="00DC69DC">
        <w:rPr>
          <w:rFonts w:asciiTheme="majorHAnsi" w:hAnsiTheme="majorHAnsi" w:cstheme="majorHAnsi"/>
          <w:sz w:val="24"/>
          <w:szCs w:val="24"/>
        </w:rPr>
        <w:t>off-campus</w:t>
      </w:r>
      <w:proofErr w:type="gramEnd"/>
      <w:r w:rsidRPr="00DC69DC">
        <w:rPr>
          <w:rFonts w:asciiTheme="majorHAnsi" w:hAnsiTheme="majorHAnsi" w:cstheme="majorHAnsi"/>
          <w:sz w:val="24"/>
          <w:szCs w:val="24"/>
        </w:rPr>
        <w:t xml:space="preserve"> is permitted for those with hospitality </w:t>
      </w:r>
      <w:r w:rsidRPr="00DC69DC">
        <w:rPr>
          <w:rFonts w:asciiTheme="majorHAnsi" w:hAnsiTheme="majorHAnsi" w:cstheme="majorHAnsi"/>
          <w:sz w:val="24"/>
          <w:szCs w:val="24"/>
        </w:rPr>
        <w:lastRenderedPageBreak/>
        <w:t xml:space="preserve">privileges; submit itemized receipt, Hospitality Justification Form, and guestlist at reconciliation. </w:t>
      </w:r>
    </w:p>
    <w:p w14:paraId="0736D693" w14:textId="77777777" w:rsidR="00271CC5" w:rsidRPr="00DC69DC" w:rsidRDefault="008A5670" w:rsidP="00657005">
      <w:pPr>
        <w:pStyle w:val="Heading1"/>
      </w:pPr>
      <w:r w:rsidRPr="00DC69DC">
        <w:t>14. Travel-Related Hospitality</w:t>
      </w:r>
    </w:p>
    <w:p w14:paraId="5DD2785A" w14:textId="5D3F970D" w:rsidR="00271CC5" w:rsidRPr="00DC69DC" w:rsidRDefault="008A5670">
      <w:pPr>
        <w:rPr>
          <w:rFonts w:asciiTheme="majorHAnsi" w:hAnsiTheme="majorHAnsi" w:cstheme="majorHAnsi"/>
          <w:sz w:val="24"/>
          <w:szCs w:val="24"/>
        </w:rPr>
      </w:pPr>
      <w:r w:rsidRPr="00DC69DC">
        <w:rPr>
          <w:rFonts w:asciiTheme="majorHAnsi" w:hAnsiTheme="majorHAnsi" w:cstheme="majorHAnsi"/>
          <w:sz w:val="24"/>
          <w:szCs w:val="24"/>
        </w:rPr>
        <w:t xml:space="preserve">Hospitality provided during travel (meals, refreshments, awards, promotional items) must follow this policy, require pre-approval when applicable, and adhere to per-person </w:t>
      </w:r>
      <w:proofErr w:type="gramStart"/>
      <w:r w:rsidRPr="00DC69DC">
        <w:rPr>
          <w:rFonts w:asciiTheme="majorHAnsi" w:hAnsiTheme="majorHAnsi" w:cstheme="majorHAnsi"/>
          <w:sz w:val="24"/>
          <w:szCs w:val="24"/>
        </w:rPr>
        <w:t>maxima</w:t>
      </w:r>
      <w:proofErr w:type="gramEnd"/>
      <w:r w:rsidRPr="00DC69DC">
        <w:rPr>
          <w:rFonts w:asciiTheme="majorHAnsi" w:hAnsiTheme="majorHAnsi" w:cstheme="majorHAnsi"/>
          <w:sz w:val="24"/>
          <w:szCs w:val="24"/>
        </w:rPr>
        <w:t xml:space="preserve"> and documentation requirements. </w:t>
      </w:r>
    </w:p>
    <w:p w14:paraId="7445AD4C" w14:textId="77777777" w:rsidR="00271CC5" w:rsidRPr="00DC69DC" w:rsidRDefault="008A5670" w:rsidP="00657005">
      <w:pPr>
        <w:pStyle w:val="Heading1"/>
      </w:pPr>
      <w:r w:rsidRPr="00DC69DC">
        <w:t>15. Recordkeeping and Tax Reporting</w:t>
      </w:r>
    </w:p>
    <w:p w14:paraId="30162EBA" w14:textId="3E2A16F7" w:rsidR="00271CC5" w:rsidRPr="00DC69DC" w:rsidRDefault="008A5670">
      <w:pPr>
        <w:rPr>
          <w:rFonts w:asciiTheme="majorHAnsi" w:hAnsiTheme="majorHAnsi" w:cstheme="majorHAnsi"/>
          <w:sz w:val="24"/>
          <w:szCs w:val="24"/>
        </w:rPr>
      </w:pPr>
      <w:r w:rsidRPr="00DC69DC">
        <w:rPr>
          <w:rFonts w:asciiTheme="majorHAnsi" w:hAnsiTheme="majorHAnsi" w:cstheme="majorHAnsi"/>
          <w:sz w:val="24"/>
          <w:szCs w:val="24"/>
        </w:rPr>
        <w:t xml:space="preserve">Departments must retain documentation to support business purpose and compliance with IRS and CSU reporting rules. Cash-equivalent items and awards that are taxable must be reported and processed through Payroll in consultation with HR and Tax/Payroll Services. </w:t>
      </w:r>
    </w:p>
    <w:p w14:paraId="75ACF89C" w14:textId="77777777" w:rsidR="00271CC5" w:rsidRPr="00DC69DC" w:rsidRDefault="008A5670" w:rsidP="00657005">
      <w:pPr>
        <w:pStyle w:val="Heading1"/>
      </w:pPr>
      <w:r w:rsidRPr="00DC69DC">
        <w:t>16. Exceptions and Violations</w:t>
      </w:r>
    </w:p>
    <w:p w14:paraId="07CA6F70" w14:textId="086862AD" w:rsidR="00271CC5" w:rsidRPr="00DC69DC" w:rsidRDefault="008A5670">
      <w:pPr>
        <w:rPr>
          <w:rFonts w:asciiTheme="majorHAnsi" w:hAnsiTheme="majorHAnsi" w:cstheme="majorHAnsi"/>
          <w:sz w:val="24"/>
          <w:szCs w:val="24"/>
        </w:rPr>
      </w:pPr>
      <w:r w:rsidRPr="00DC69DC">
        <w:rPr>
          <w:rFonts w:asciiTheme="majorHAnsi" w:hAnsiTheme="majorHAnsi" w:cstheme="majorHAnsi"/>
          <w:sz w:val="24"/>
          <w:szCs w:val="24"/>
        </w:rPr>
        <w:t xml:space="preserve">Exceptions to per-person limits or to other provisions require written approval from the University CFO or </w:t>
      </w:r>
      <w:proofErr w:type="gramStart"/>
      <w:r w:rsidRPr="00DC69DC">
        <w:rPr>
          <w:rFonts w:asciiTheme="majorHAnsi" w:hAnsiTheme="majorHAnsi" w:cstheme="majorHAnsi"/>
          <w:sz w:val="24"/>
          <w:szCs w:val="24"/>
        </w:rPr>
        <w:t>designee</w:t>
      </w:r>
      <w:proofErr w:type="gramEnd"/>
      <w:r w:rsidRPr="00DC69DC">
        <w:rPr>
          <w:rFonts w:asciiTheme="majorHAnsi" w:hAnsiTheme="majorHAnsi" w:cstheme="majorHAnsi"/>
          <w:sz w:val="24"/>
          <w:szCs w:val="24"/>
        </w:rPr>
        <w:t>. Approving authorities are responsible for policy compliance; misuse of funds may result in repayment and/or disciplinary action.</w:t>
      </w:r>
    </w:p>
    <w:p w14:paraId="37859666" w14:textId="77777777" w:rsidR="00271CC5" w:rsidRPr="00DC69DC" w:rsidRDefault="008A5670" w:rsidP="00657005">
      <w:pPr>
        <w:pStyle w:val="Heading1"/>
      </w:pPr>
      <w:r w:rsidRPr="00DC69DC">
        <w:t>17. Review Cycle</w:t>
      </w:r>
    </w:p>
    <w:p w14:paraId="1AE78852" w14:textId="6B92BE6A" w:rsidR="00271CC5" w:rsidRPr="00DC69DC" w:rsidRDefault="008A5670">
      <w:pPr>
        <w:rPr>
          <w:rFonts w:asciiTheme="majorHAnsi" w:hAnsiTheme="majorHAnsi" w:cstheme="majorHAnsi"/>
          <w:sz w:val="24"/>
          <w:szCs w:val="24"/>
        </w:rPr>
      </w:pPr>
      <w:r w:rsidRPr="00DC69DC">
        <w:rPr>
          <w:rFonts w:asciiTheme="majorHAnsi" w:hAnsiTheme="majorHAnsi" w:cstheme="majorHAnsi"/>
          <w:sz w:val="24"/>
          <w:szCs w:val="24"/>
        </w:rPr>
        <w:t xml:space="preserve">This policy will be reviewed annually (or as required by systemwide updates) and updated to reflect ICSUAM changes. </w:t>
      </w:r>
    </w:p>
    <w:p w14:paraId="254EA9FD" w14:textId="77777777" w:rsidR="00915E39" w:rsidRDefault="00915E39">
      <w:pPr>
        <w:rPr>
          <w:rFonts w:asciiTheme="majorHAnsi" w:hAnsiTheme="majorHAnsi" w:cstheme="majorHAnsi"/>
          <w:sz w:val="24"/>
          <w:szCs w:val="24"/>
        </w:rPr>
      </w:pPr>
    </w:p>
    <w:p w14:paraId="1D945BC6" w14:textId="7A80411B" w:rsidR="00271CC5" w:rsidRPr="00DC69DC" w:rsidRDefault="008A5670">
      <w:pPr>
        <w:rPr>
          <w:rFonts w:asciiTheme="majorHAnsi" w:hAnsiTheme="majorHAnsi" w:cstheme="majorHAnsi"/>
          <w:sz w:val="24"/>
          <w:szCs w:val="24"/>
        </w:rPr>
      </w:pPr>
      <w:r w:rsidRPr="00DC69DC">
        <w:rPr>
          <w:rFonts w:asciiTheme="majorHAnsi" w:hAnsiTheme="majorHAnsi" w:cstheme="majorHAnsi"/>
          <w:sz w:val="24"/>
          <w:szCs w:val="24"/>
        </w:rPr>
        <w:t>Prepared by: Payment Services, California State University, Bakersfield</w:t>
      </w:r>
    </w:p>
    <w:p w14:paraId="5F917BD1" w14:textId="77777777" w:rsidR="00271CC5" w:rsidRPr="00DC69DC" w:rsidRDefault="008A5670">
      <w:pPr>
        <w:rPr>
          <w:rFonts w:asciiTheme="majorHAnsi" w:hAnsiTheme="majorHAnsi" w:cstheme="majorHAnsi"/>
          <w:sz w:val="24"/>
          <w:szCs w:val="24"/>
        </w:rPr>
      </w:pPr>
      <w:r w:rsidRPr="00DC69DC">
        <w:rPr>
          <w:rFonts w:asciiTheme="majorHAnsi" w:hAnsiTheme="majorHAnsi" w:cstheme="majorHAnsi"/>
          <w:sz w:val="24"/>
          <w:szCs w:val="24"/>
        </w:rPr>
        <w:t>Contact: Payment Services (accounts_payable@csub.edu)</w:t>
      </w:r>
    </w:p>
    <w:sectPr w:rsidR="00271CC5" w:rsidRPr="00DC69D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39897477">
    <w:abstractNumId w:val="8"/>
  </w:num>
  <w:num w:numId="2" w16cid:durableId="1656760046">
    <w:abstractNumId w:val="6"/>
  </w:num>
  <w:num w:numId="3" w16cid:durableId="363674460">
    <w:abstractNumId w:val="5"/>
  </w:num>
  <w:num w:numId="4" w16cid:durableId="1897398582">
    <w:abstractNumId w:val="4"/>
  </w:num>
  <w:num w:numId="5" w16cid:durableId="298658359">
    <w:abstractNumId w:val="7"/>
  </w:num>
  <w:num w:numId="6" w16cid:durableId="320276679">
    <w:abstractNumId w:val="3"/>
  </w:num>
  <w:num w:numId="7" w16cid:durableId="803698328">
    <w:abstractNumId w:val="2"/>
  </w:num>
  <w:num w:numId="8" w16cid:durableId="975449590">
    <w:abstractNumId w:val="1"/>
  </w:num>
  <w:num w:numId="9" w16cid:durableId="20513430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A2B12"/>
    <w:rsid w:val="00237F4B"/>
    <w:rsid w:val="002615A1"/>
    <w:rsid w:val="00271CC5"/>
    <w:rsid w:val="0029639D"/>
    <w:rsid w:val="00326D96"/>
    <w:rsid w:val="00326F90"/>
    <w:rsid w:val="004F369C"/>
    <w:rsid w:val="00657005"/>
    <w:rsid w:val="00792C54"/>
    <w:rsid w:val="008966F2"/>
    <w:rsid w:val="008A5670"/>
    <w:rsid w:val="00915E39"/>
    <w:rsid w:val="009164C2"/>
    <w:rsid w:val="00AA1D8D"/>
    <w:rsid w:val="00B47730"/>
    <w:rsid w:val="00C726ED"/>
    <w:rsid w:val="00CB0664"/>
    <w:rsid w:val="00DC69DC"/>
    <w:rsid w:val="00E47191"/>
    <w:rsid w:val="00ED4095"/>
    <w:rsid w:val="00FC693F"/>
    <w:rsid w:val="00FD0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CF1E0A8"/>
  <w14:defaultImageDpi w14:val="300"/>
  <w15:docId w15:val="{C5B3F432-7625-4B31-BD78-3788D1565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5</Pages>
  <Words>1146</Words>
  <Characters>6537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7668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Hillary Castellano</cp:lastModifiedBy>
  <cp:revision>13</cp:revision>
  <dcterms:created xsi:type="dcterms:W3CDTF">2026-03-09T21:14:00Z</dcterms:created>
  <dcterms:modified xsi:type="dcterms:W3CDTF">2026-04-09T21:38:00Z</dcterms:modified>
  <cp:category/>
</cp:coreProperties>
</file>